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A3" w:rsidRDefault="002421A3" w:rsidP="002421A3">
      <w:pPr>
        <w:pStyle w:val="NoSpacing"/>
        <w:jc w:val="right"/>
        <w:rPr>
          <w:rFonts w:cs="Times New Roman"/>
          <w:i/>
          <w:szCs w:val="24"/>
        </w:rPr>
      </w:pPr>
      <w:r>
        <w:rPr>
          <w:rFonts w:cs="Times New Roman"/>
          <w:i/>
          <w:szCs w:val="24"/>
        </w:rPr>
        <w:t xml:space="preserve">Pielikums Nr.2 </w:t>
      </w:r>
    </w:p>
    <w:p w:rsidR="002421A3" w:rsidRDefault="002421A3" w:rsidP="002421A3">
      <w:pPr>
        <w:pStyle w:val="NoSpacing"/>
        <w:jc w:val="right"/>
        <w:rPr>
          <w:rFonts w:cs="Times New Roman"/>
          <w:i/>
          <w:szCs w:val="24"/>
        </w:rPr>
      </w:pPr>
      <w:r>
        <w:rPr>
          <w:rFonts w:cs="Times New Roman"/>
          <w:i/>
          <w:szCs w:val="24"/>
        </w:rPr>
        <w:t xml:space="preserve">Alojas novada pašvaldības medību </w:t>
      </w:r>
    </w:p>
    <w:p w:rsidR="002421A3" w:rsidRDefault="002421A3" w:rsidP="002421A3">
      <w:pPr>
        <w:pStyle w:val="NoSpacing"/>
        <w:jc w:val="right"/>
        <w:rPr>
          <w:rFonts w:cs="Times New Roman"/>
          <w:i/>
          <w:sz w:val="22"/>
        </w:rPr>
      </w:pPr>
      <w:r>
        <w:rPr>
          <w:rFonts w:cs="Times New Roman"/>
          <w:i/>
          <w:szCs w:val="24"/>
        </w:rPr>
        <w:t>tiesību nomas piešķiršanas kārtībai</w:t>
      </w:r>
      <w:r>
        <w:rPr>
          <w:rFonts w:cs="Times New Roman"/>
          <w:i/>
        </w:rPr>
        <w:t xml:space="preserve"> </w:t>
      </w:r>
    </w:p>
    <w:p w:rsidR="002421A3" w:rsidRDefault="002421A3" w:rsidP="002421A3">
      <w:pPr>
        <w:jc w:val="right"/>
        <w:rPr>
          <w:rFonts w:ascii="Times New Roman" w:hAnsi="Times New Roman" w:cs="Times New Roman"/>
          <w:b/>
          <w:bCs/>
        </w:rPr>
      </w:pPr>
    </w:p>
    <w:p w:rsidR="002421A3" w:rsidRDefault="002421A3" w:rsidP="002421A3">
      <w:pPr>
        <w:jc w:val="center"/>
        <w:rPr>
          <w:rFonts w:ascii="Times New Roman" w:hAnsi="Times New Roman" w:cs="Times New Roman"/>
          <w:b/>
          <w:bCs/>
        </w:rPr>
      </w:pPr>
    </w:p>
    <w:p w:rsidR="002421A3" w:rsidRDefault="002421A3" w:rsidP="002421A3">
      <w:pPr>
        <w:jc w:val="center"/>
        <w:rPr>
          <w:rFonts w:ascii="Times New Roman" w:hAnsi="Times New Roman" w:cs="Times New Roman"/>
          <w:sz w:val="24"/>
          <w:szCs w:val="24"/>
        </w:rPr>
      </w:pPr>
      <w:r>
        <w:rPr>
          <w:rFonts w:ascii="Times New Roman" w:hAnsi="Times New Roman" w:cs="Times New Roman"/>
          <w:b/>
          <w:bCs/>
          <w:sz w:val="24"/>
          <w:szCs w:val="24"/>
        </w:rPr>
        <w:t>Līgums par medību tiesību nomu Nr. .../.........</w:t>
      </w:r>
    </w:p>
    <w:p w:rsidR="002421A3" w:rsidRDefault="002421A3" w:rsidP="002421A3">
      <w:pPr>
        <w:jc w:val="both"/>
        <w:rPr>
          <w:rFonts w:ascii="Times New Roman" w:hAnsi="Times New Roman" w:cs="Times New Roman"/>
          <w:sz w:val="24"/>
          <w:szCs w:val="24"/>
        </w:rPr>
      </w:pPr>
      <w:r>
        <w:rPr>
          <w:rFonts w:ascii="Times New Roman" w:hAnsi="Times New Roman" w:cs="Times New Roman"/>
          <w:b/>
          <w:bCs/>
          <w:sz w:val="24"/>
          <w:szCs w:val="24"/>
        </w:rPr>
        <w:t xml:space="preserve">Alojā 201_.gada ................................... </w:t>
      </w:r>
    </w:p>
    <w:p w:rsidR="002421A3" w:rsidRDefault="002421A3" w:rsidP="002421A3">
      <w:pPr>
        <w:jc w:val="both"/>
        <w:rPr>
          <w:rFonts w:ascii="Times New Roman" w:hAnsi="Times New Roman" w:cs="Times New Roman"/>
          <w:sz w:val="24"/>
          <w:szCs w:val="24"/>
        </w:rPr>
      </w:pPr>
      <w:r>
        <w:rPr>
          <w:rFonts w:ascii="Times New Roman" w:hAnsi="Times New Roman" w:cs="Times New Roman"/>
          <w:b/>
          <w:bCs/>
          <w:sz w:val="24"/>
          <w:szCs w:val="24"/>
        </w:rPr>
        <w:t xml:space="preserve">Alojas novada dome, </w:t>
      </w:r>
      <w:r>
        <w:rPr>
          <w:rFonts w:ascii="Times New Roman" w:hAnsi="Times New Roman" w:cs="Times New Roman"/>
          <w:sz w:val="24"/>
          <w:szCs w:val="24"/>
        </w:rPr>
        <w:t>reģ. Nr. _______________, adrese ______________, domes priekšsēdētāja _____________ personā, kurš/a rīkojas saskaņā ar nolikumu, no vienas puses, turpmāk</w:t>
      </w:r>
      <w:r>
        <w:rPr>
          <w:rFonts w:ascii="Times New Roman" w:hAnsi="Times New Roman" w:cs="Times New Roman"/>
          <w:b/>
          <w:bCs/>
          <w:sz w:val="24"/>
          <w:szCs w:val="24"/>
        </w:rPr>
        <w:t xml:space="preserve">- </w:t>
      </w:r>
      <w:r>
        <w:rPr>
          <w:rFonts w:ascii="Times New Roman" w:hAnsi="Times New Roman" w:cs="Times New Roman"/>
          <w:sz w:val="24"/>
          <w:szCs w:val="24"/>
        </w:rPr>
        <w:t>pašvaldība</w:t>
      </w:r>
      <w:r>
        <w:rPr>
          <w:rFonts w:ascii="Times New Roman" w:hAnsi="Times New Roman" w:cs="Times New Roman"/>
          <w:b/>
          <w:bCs/>
          <w:sz w:val="24"/>
          <w:szCs w:val="24"/>
        </w:rPr>
        <w:t xml:space="preserve">), </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 xml:space="preserve">un ..................................................................................................................................... </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 xml:space="preserve">........................................... (reģ. Nr. .......................................) ................................................. personā, kurš darbojas uz statūtu pamata, </w:t>
      </w:r>
    </w:p>
    <w:p w:rsidR="002421A3" w:rsidRDefault="002421A3" w:rsidP="002421A3">
      <w:pPr>
        <w:jc w:val="both"/>
        <w:rPr>
          <w:rFonts w:ascii="Times New Roman" w:hAnsi="Times New Roman" w:cs="Times New Roman"/>
          <w:sz w:val="24"/>
          <w:szCs w:val="24"/>
        </w:rPr>
      </w:pPr>
      <w:r>
        <w:rPr>
          <w:rFonts w:ascii="Times New Roman" w:hAnsi="Times New Roman" w:cs="Times New Roman"/>
          <w:b/>
          <w:bCs/>
          <w:sz w:val="24"/>
          <w:szCs w:val="24"/>
        </w:rPr>
        <w:t xml:space="preserve">vai, </w:t>
      </w:r>
      <w:r>
        <w:rPr>
          <w:rFonts w:ascii="Times New Roman" w:hAnsi="Times New Roman" w:cs="Times New Roman"/>
          <w:sz w:val="24"/>
          <w:szCs w:val="24"/>
        </w:rPr>
        <w:t>fiziska persona .................................................................................................... (pers. kods .....................................) (turpmāk</w:t>
      </w:r>
      <w:r>
        <w:rPr>
          <w:rFonts w:ascii="Times New Roman" w:hAnsi="Times New Roman" w:cs="Times New Roman"/>
          <w:b/>
          <w:bCs/>
          <w:sz w:val="24"/>
          <w:szCs w:val="24"/>
        </w:rPr>
        <w:t>-</w:t>
      </w:r>
      <w:r>
        <w:rPr>
          <w:rFonts w:ascii="Times New Roman" w:hAnsi="Times New Roman" w:cs="Times New Roman"/>
          <w:sz w:val="24"/>
          <w:szCs w:val="24"/>
        </w:rPr>
        <w:t>Nomnieks</w:t>
      </w:r>
      <w:r>
        <w:rPr>
          <w:rFonts w:ascii="Times New Roman" w:hAnsi="Times New Roman" w:cs="Times New Roman"/>
          <w:b/>
          <w:bCs/>
          <w:sz w:val="24"/>
          <w:szCs w:val="24"/>
        </w:rPr>
        <w:t xml:space="preserve">), </w:t>
      </w:r>
      <w:r>
        <w:rPr>
          <w:rFonts w:ascii="Times New Roman" w:hAnsi="Times New Roman" w:cs="Times New Roman"/>
          <w:sz w:val="24"/>
          <w:szCs w:val="24"/>
        </w:rPr>
        <w:t xml:space="preserve">no otras puses, pamatojoties uz </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 xml:space="preserve"> Alojas novada domes 20____. gada ______ lēmumu Nr.___  un/vai Alojas novada ______________________________ __.__.20__. rīkotās izsoles rezultātiem, vienojas noslēgt sekojošu līgumu: </w:t>
      </w:r>
    </w:p>
    <w:p w:rsidR="002421A3" w:rsidRDefault="002421A3" w:rsidP="002421A3">
      <w:pPr>
        <w:keepNext/>
        <w:numPr>
          <w:ilvl w:val="0"/>
          <w:numId w:val="1"/>
        </w:numPr>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priekšmets</w:t>
      </w:r>
    </w:p>
    <w:p w:rsidR="002421A3" w:rsidRDefault="002421A3" w:rsidP="002421A3">
      <w:pPr>
        <w:spacing w:after="0" w:line="240" w:lineRule="auto"/>
        <w:jc w:val="both"/>
        <w:rPr>
          <w:rFonts w:ascii="Times New Roman" w:eastAsia="Times New Roman" w:hAnsi="Times New Roman" w:cs="Times New Roman"/>
          <w:sz w:val="24"/>
          <w:szCs w:val="24"/>
        </w:rPr>
      </w:pPr>
    </w:p>
    <w:p w:rsidR="002421A3" w:rsidRDefault="002421A3" w:rsidP="002421A3">
      <w:pPr>
        <w:keepNext/>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nodod un Nomnieks  pieņem izmantošanai medību tiesības Pašvaldība zemēs esošajās medību platībās sekojošos Īpašumos:</w:t>
      </w:r>
    </w:p>
    <w:p w:rsidR="002421A3" w:rsidRDefault="002421A3" w:rsidP="002421A3">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297"/>
        <w:gridCol w:w="2098"/>
        <w:gridCol w:w="1952"/>
      </w:tblGrid>
      <w:tr w:rsidR="002421A3" w:rsidTr="002421A3">
        <w:tc>
          <w:tcPr>
            <w:tcW w:w="2660" w:type="dxa"/>
            <w:tcBorders>
              <w:top w:val="single" w:sz="4" w:space="0" w:color="auto"/>
              <w:left w:val="single" w:sz="4" w:space="0" w:color="auto"/>
              <w:bottom w:val="single" w:sz="4" w:space="0" w:color="auto"/>
              <w:right w:val="single" w:sz="4" w:space="0" w:color="auto"/>
            </w:tcBorders>
            <w:hideMark/>
          </w:tcPr>
          <w:p w:rsidR="002421A3" w:rsidRDefault="002421A3">
            <w:pPr>
              <w:keepNext/>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Īpašuma nosaukums</w:t>
            </w:r>
          </w:p>
        </w:tc>
        <w:tc>
          <w:tcPr>
            <w:tcW w:w="2977" w:type="dxa"/>
            <w:tcBorders>
              <w:top w:val="single" w:sz="4" w:space="0" w:color="auto"/>
              <w:left w:val="single" w:sz="4" w:space="0" w:color="auto"/>
              <w:bottom w:val="single" w:sz="4" w:space="0" w:color="auto"/>
              <w:right w:val="single" w:sz="4" w:space="0" w:color="auto"/>
            </w:tcBorders>
            <w:hideMark/>
          </w:tcPr>
          <w:p w:rsidR="002421A3" w:rsidRDefault="002421A3">
            <w:pPr>
              <w:keepNext/>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Kadastra numurs</w:t>
            </w:r>
          </w:p>
        </w:tc>
        <w:tc>
          <w:tcPr>
            <w:tcW w:w="2693" w:type="dxa"/>
            <w:tcBorders>
              <w:top w:val="single" w:sz="4" w:space="0" w:color="auto"/>
              <w:left w:val="single" w:sz="4" w:space="0" w:color="auto"/>
              <w:bottom w:val="single" w:sz="4" w:space="0" w:color="auto"/>
              <w:right w:val="single" w:sz="4" w:space="0" w:color="auto"/>
            </w:tcBorders>
            <w:hideMark/>
          </w:tcPr>
          <w:p w:rsidR="002421A3" w:rsidRDefault="002421A3">
            <w:pPr>
              <w:keepNext/>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Mežs, krūmāji, purvi (ha)</w:t>
            </w:r>
          </w:p>
        </w:tc>
        <w:tc>
          <w:tcPr>
            <w:tcW w:w="2551" w:type="dxa"/>
            <w:tcBorders>
              <w:top w:val="single" w:sz="4" w:space="0" w:color="auto"/>
              <w:left w:val="single" w:sz="4" w:space="0" w:color="auto"/>
              <w:bottom w:val="single" w:sz="4" w:space="0" w:color="auto"/>
              <w:right w:val="single" w:sz="4" w:space="0" w:color="auto"/>
            </w:tcBorders>
            <w:hideMark/>
          </w:tcPr>
          <w:p w:rsidR="002421A3" w:rsidRDefault="002421A3">
            <w:pPr>
              <w:keepNext/>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Kopējā platība (ha)</w:t>
            </w:r>
          </w:p>
        </w:tc>
      </w:tr>
      <w:tr w:rsidR="002421A3" w:rsidTr="002421A3">
        <w:trPr>
          <w:trHeight w:val="20"/>
        </w:trPr>
        <w:tc>
          <w:tcPr>
            <w:tcW w:w="2660"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sz w:val="24"/>
                <w:szCs w:val="24"/>
                <w:highlight w:val="yellow"/>
              </w:rPr>
            </w:pPr>
          </w:p>
        </w:tc>
        <w:tc>
          <w:tcPr>
            <w:tcW w:w="2977"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sz w:val="24"/>
                <w:szCs w:val="24"/>
                <w:highlight w:val="yellow"/>
              </w:rPr>
            </w:pPr>
          </w:p>
        </w:tc>
      </w:tr>
      <w:tr w:rsidR="002421A3" w:rsidTr="002421A3">
        <w:trPr>
          <w:trHeight w:val="20"/>
        </w:trPr>
        <w:tc>
          <w:tcPr>
            <w:tcW w:w="2660"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r>
      <w:tr w:rsidR="002421A3" w:rsidTr="002421A3">
        <w:trPr>
          <w:trHeight w:val="20"/>
        </w:trPr>
        <w:tc>
          <w:tcPr>
            <w:tcW w:w="2660"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r>
      <w:tr w:rsidR="002421A3" w:rsidTr="002421A3">
        <w:trPr>
          <w:trHeight w:val="20"/>
        </w:trPr>
        <w:tc>
          <w:tcPr>
            <w:tcW w:w="2660"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r>
      <w:tr w:rsidR="002421A3" w:rsidTr="002421A3">
        <w:trPr>
          <w:trHeight w:val="20"/>
        </w:trPr>
        <w:tc>
          <w:tcPr>
            <w:tcW w:w="2660"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2421A3" w:rsidRDefault="002421A3">
            <w:pPr>
              <w:spacing w:after="0" w:line="240" w:lineRule="auto"/>
              <w:jc w:val="both"/>
              <w:rPr>
                <w:rFonts w:ascii="Times New Roman" w:eastAsia="Times New Roman" w:hAnsi="Times New Roman" w:cs="Times New Roman"/>
                <w:color w:val="000000"/>
                <w:sz w:val="24"/>
                <w:szCs w:val="24"/>
                <w:lang w:val="en-US"/>
              </w:rPr>
            </w:pPr>
          </w:p>
        </w:tc>
      </w:tr>
    </w:tbl>
    <w:p w:rsidR="002421A3" w:rsidRDefault="002421A3" w:rsidP="002421A3">
      <w:pPr>
        <w:spacing w:after="0" w:line="240" w:lineRule="auto"/>
        <w:jc w:val="both"/>
        <w:rPr>
          <w:rFonts w:ascii="Times New Roman" w:eastAsia="Times New Roman" w:hAnsi="Times New Roman" w:cs="Times New Roman"/>
          <w:b/>
          <w:sz w:val="24"/>
          <w:szCs w:val="24"/>
        </w:rPr>
      </w:pPr>
    </w:p>
    <w:p w:rsidR="002421A3" w:rsidRDefault="002421A3" w:rsidP="002421A3">
      <w:pPr>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Līguma darbības termiņš, līguma izbeigšanas un termiņa pagarināšanas nosacījumi</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2.1. Līguma darbības termiņš ir 12 ( divpadsmit) gadi no Līguma noslēgšanas dienas;</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2.2. Līgums stājas spēkā pēc tā abpusējas parakstīšanas un iesniegšanas Valsts meža dienestā un reģistrēšanas medību iecirkņa sastāvā;</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2.3. Līguma reģistrāciju Valsts Meža dienestā veic Nomnieks.</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 xml:space="preserve">2.4. Līguma darbību var izbeigt pusēm savstarpēji vienojoties. Līguma slēdzēji ir tiesīgi vienpusēji izbeigt līgumu, rakstveidā par to paziņojot otram līguma slēdzējam ne mazāk kā 6 (sešus) mēnešus iepriekš. </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2.5. Pašvaldībai ir tiesības vienpusēji līgumu lauzt, ja Nomnieks kavē 2.1.punktā paredzētos maksājumus ilgāk kā 20 darbdienām, vai neievēro 2.3. punktā minētās prasības. Par līguma laušanu pašvaldība paziņo Nomniekam rakstiski vismaz vienu mēnesi iepriekš. </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 xml:space="preserve">2.6. Līgums izbeidzas Nomnieka – juridiskas personas likvidācijas, vai fiziskas personas nāves gadījumā. </w:t>
      </w:r>
    </w:p>
    <w:p w:rsidR="002421A3" w:rsidRDefault="002421A3" w:rsidP="002421A3">
      <w:pPr>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bCs/>
          <w:sz w:val="24"/>
          <w:szCs w:val="24"/>
        </w:rPr>
        <w:t xml:space="preserve">Norēķinu kārtība </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 xml:space="preserve">2.1. Nomnieks maksā pašvaldībai nomas maksu EUR 0,40 (nulle eiro, četrdesmit centi) un pievienotās vērtības nodokli _____ % apmērā par vienu hektāru gadā un gada kopējā maksa par medību tiesību nomu visā platībā ir EUR ______ un PVN ______, kopā EUR______(___________). </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2.2. Nomas maksa par kārtējo gadu  tiek maksāta divos vienādos maksājumos līdz kārtējā gada 15.martam un 15.septembrim.</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 xml:space="preserve">2.3. Nomas maksājumu Nomnieks veic bezskaidras naudas formā saskaņā ar pašvaldības izrakstīto rēķinu, maksājumu apstiprina bankas akceptēts (apzīmogots) maksājuma dokuments. Nomnieks nomas maksu var maksāt arī pašvaldības kasē. </w:t>
      </w:r>
    </w:p>
    <w:p w:rsidR="002421A3" w:rsidRDefault="002421A3" w:rsidP="002421A3">
      <w:pPr>
        <w:jc w:val="both"/>
        <w:rPr>
          <w:rFonts w:ascii="Times New Roman" w:hAnsi="Times New Roman" w:cs="Times New Roman"/>
          <w:sz w:val="24"/>
          <w:szCs w:val="24"/>
        </w:rPr>
      </w:pPr>
      <w:r>
        <w:rPr>
          <w:rFonts w:ascii="Times New Roman" w:hAnsi="Times New Roman" w:cs="Times New Roman"/>
          <w:b/>
          <w:bCs/>
          <w:sz w:val="24"/>
          <w:szCs w:val="24"/>
        </w:rPr>
        <w:t xml:space="preserve">4. Pušu saistības </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Nomnieka tiesības un pienākumi</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4.1.1. Organizēt medības uz Pašvaldības zemes atbilstoši medības regulējošo normatīvo aktu noteiktajām prasībām  un iekļaut šīs medību platības savā medību iecirknī;</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4.1.2.  Pēc nepieciešamības pārvietoties pa nekustamo īpašumu, tajā esošajiem ceļiem, stigām un citiem infrastruktūras objektiem, nebojājot tos;</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4.1.3.  Ierīkot medību torņus, barotavas, piebarošanas lauciņus un šaušanas vizūras iepriekš to saskaņojot ar Pašvaldību;</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4.1.4. Laicīgi un nekavējoties saņemt informāciju no Pašvaldības par medījamo dzīvnieku izdarītajiem postījumiem lauksaimniecības un meža kultūrām.</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4.1.5. Medīt medību iecirknī, nodrošinot medību resursu ilgtspējīgu apsaimniekošanu;</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4.1.6.Ierobežot medījamo dzīvnieku postījumus lauksaimniecības kultūrām un meža jaunaudzēm;</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4.1.7. Griezties Valsts Meža dienestā, lai saņemtu papildus medību atļaujas limitēto medījamo sugu dzīvnieku medīšanai vai ja medījamie dzīvnieki izdara postījumus ārpus noteiktā medību termiņa;</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4.1.8. Darīt visu iespējamo, lai novērstu medījamo dzīvnieku izdarīto postījumu turpināšanos un aktīvi sadarboties ar pašvaldību, ja tā tiek iesaistīta medījamo dzīvnieku postījumu novēršanā un domstarpību risināšanā;</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4.2.Pašvaldības tiesības un pienākumi</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lastRenderedPageBreak/>
        <w:t>4.2.1.  Pašvaldība  nav tiesīga izvirzīt prasības par zaudējumu atlīdzināšanu medījamo dzīvnieku izdarīto postījumu gadījumā, ja postījumi ir veikti attiecīgās sugas saudzēšanas laikā, kad medības ir aizliegtas vai Pašvaldība nav nekavējoties informējis medību tiesību lietotāju par postījumu sākšanos;</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4.2.2. Ievērot, ka Medību tiesības vienlaikus var nodot tikai vienai personai;</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 xml:space="preserve">4.2.3. Nekavējoties ziņot Nomniekam par konstatētajiem medījamo dzīvnieku nodarītajiem postījumiem un norādīt vietu medību torņa vai tam pielīdzināmo ietaišu ierīkošanai. </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4.2.4. Ja punktā 4.2.3.minētās darbības nav veiktas, Pašvaldībai zūd prasījuma tiesības par zaudējumu atlīdzināšanu medījamo dzīvnieku postījumu gadījumos;</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4.2.5. Netraucēt un ļaut brīvi medīt Līguma 1.punktā  norādītajos īpašumos.</w:t>
      </w: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 xml:space="preserve">4.2.6. Pieprasīt no Nomnieka informāciju par līgumā paredzēto saistību izpildi. </w:t>
      </w:r>
    </w:p>
    <w:p w:rsidR="002421A3" w:rsidRDefault="002421A3" w:rsidP="002421A3">
      <w:pPr>
        <w:pStyle w:val="NoSpacing"/>
        <w:numPr>
          <w:ilvl w:val="0"/>
          <w:numId w:val="2"/>
        </w:numPr>
        <w:jc w:val="both"/>
        <w:rPr>
          <w:rFonts w:cs="Times New Roman"/>
          <w:b/>
          <w:szCs w:val="24"/>
        </w:rPr>
      </w:pPr>
      <w:r>
        <w:rPr>
          <w:rFonts w:cs="Times New Roman"/>
          <w:b/>
          <w:szCs w:val="24"/>
        </w:rPr>
        <w:t>Strīdu risināšanas kārtība un citi noteikumi</w:t>
      </w:r>
    </w:p>
    <w:p w:rsidR="002421A3" w:rsidRDefault="002421A3" w:rsidP="002421A3">
      <w:pPr>
        <w:pStyle w:val="NoSpacing"/>
        <w:ind w:left="720"/>
        <w:jc w:val="both"/>
        <w:rPr>
          <w:rFonts w:cs="Times New Roman"/>
          <w:szCs w:val="24"/>
          <w:lang w:eastAsia="lv-LV"/>
        </w:rPr>
      </w:pPr>
    </w:p>
    <w:p w:rsidR="002421A3" w:rsidRDefault="002421A3" w:rsidP="002421A3">
      <w:pPr>
        <w:pStyle w:val="NoSpacing"/>
        <w:jc w:val="both"/>
        <w:rPr>
          <w:rFonts w:cs="Times New Roman"/>
          <w:szCs w:val="24"/>
          <w:lang w:eastAsia="lv-LV"/>
        </w:rPr>
      </w:pPr>
      <w:r>
        <w:rPr>
          <w:rFonts w:cs="Times New Roman"/>
          <w:szCs w:val="24"/>
          <w:lang w:eastAsia="lv-LV"/>
        </w:rPr>
        <w:t>5.1. Visas domstarpības tiek risinātas sarunu ceļā;</w:t>
      </w:r>
    </w:p>
    <w:p w:rsidR="002421A3" w:rsidRDefault="002421A3" w:rsidP="002421A3">
      <w:pPr>
        <w:pStyle w:val="BodyTextIndent"/>
        <w:jc w:val="both"/>
        <w:rPr>
          <w:rFonts w:ascii="Times New Roman" w:hAnsi="Times New Roman"/>
          <w:szCs w:val="24"/>
          <w:lang w:val="lv-LV"/>
        </w:rPr>
      </w:pPr>
    </w:p>
    <w:p w:rsidR="002421A3" w:rsidRDefault="002421A3" w:rsidP="002421A3">
      <w:pPr>
        <w:pStyle w:val="BodyTextIndent"/>
        <w:jc w:val="both"/>
        <w:rPr>
          <w:rFonts w:ascii="Times New Roman" w:hAnsi="Times New Roman"/>
          <w:szCs w:val="24"/>
          <w:lang w:val="lv-LV"/>
        </w:rPr>
      </w:pPr>
      <w:r>
        <w:rPr>
          <w:rFonts w:ascii="Times New Roman" w:hAnsi="Times New Roman"/>
          <w:szCs w:val="24"/>
          <w:lang w:val="lv-LV"/>
        </w:rPr>
        <w:t>5.2.Ja domstarpības un strīdi, kas radušies starp Pusēm, nav atrisināmi savstarpējo sarunu ceļā, strīda izskatīšana tiek nodota Latvijas Republikas tiesā normatīvajos aktos noteiktajā kārtībā;</w:t>
      </w:r>
    </w:p>
    <w:p w:rsidR="002421A3" w:rsidRDefault="002421A3" w:rsidP="002421A3">
      <w:pPr>
        <w:jc w:val="both"/>
        <w:rPr>
          <w:rFonts w:ascii="Times New Roman" w:hAnsi="Times New Roman" w:cs="Times New Roman"/>
          <w:sz w:val="24"/>
          <w:szCs w:val="24"/>
        </w:rPr>
      </w:pP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5.3.Puses saskaņā ar spēkā esošajiem normatīvajiem aktiem ir viena otrai atbildīgas par līgumsaistību pārkāpumiem un to rezultātā nodarītiem zaudējumiem atbilstoši Līgumā pielīgtajai kārtībai;</w:t>
      </w:r>
    </w:p>
    <w:p w:rsidR="002421A3" w:rsidRDefault="002421A3" w:rsidP="002421A3">
      <w:pPr>
        <w:pStyle w:val="txt1"/>
        <w:tabs>
          <w:tab w:val="clear" w:pos="397"/>
          <w:tab w:val="left" w:pos="720"/>
        </w:tabs>
        <w:rPr>
          <w:rFonts w:ascii="Times New Roman" w:hAnsi="Times New Roman"/>
          <w:color w:val="auto"/>
          <w:sz w:val="24"/>
          <w:szCs w:val="24"/>
          <w:lang w:val="lv-LV"/>
        </w:rPr>
      </w:pPr>
      <w:r>
        <w:rPr>
          <w:rFonts w:ascii="Times New Roman" w:hAnsi="Times New Roman"/>
          <w:color w:val="auto"/>
          <w:sz w:val="24"/>
          <w:szCs w:val="24"/>
          <w:lang w:val="lv-LV"/>
        </w:rPr>
        <w:t>5.4. Puses tiek atbrīvotas no atbildības par daļēju vai pilnīgu šajā Līgumā paredzēto saistību neizpildi, ja tās radušās pēc Līguma noslēgšanas nepārvaramas varas apstākļu rezultātā.</w:t>
      </w:r>
    </w:p>
    <w:p w:rsidR="002421A3" w:rsidRDefault="002421A3" w:rsidP="002421A3">
      <w:pPr>
        <w:pStyle w:val="txt1"/>
        <w:tabs>
          <w:tab w:val="clear" w:pos="397"/>
          <w:tab w:val="left" w:pos="720"/>
        </w:tabs>
        <w:rPr>
          <w:rFonts w:ascii="Times New Roman" w:hAnsi="Times New Roman"/>
          <w:color w:val="auto"/>
          <w:sz w:val="24"/>
          <w:szCs w:val="24"/>
          <w:lang w:val="lv-LV"/>
        </w:rPr>
      </w:pPr>
    </w:p>
    <w:p w:rsidR="002421A3" w:rsidRDefault="002421A3" w:rsidP="002421A3">
      <w:pPr>
        <w:pStyle w:val="txt1"/>
        <w:tabs>
          <w:tab w:val="clear" w:pos="397"/>
          <w:tab w:val="left" w:pos="720"/>
        </w:tabs>
        <w:rPr>
          <w:rFonts w:ascii="Times New Roman" w:hAnsi="Times New Roman"/>
          <w:color w:val="auto"/>
          <w:sz w:val="24"/>
          <w:szCs w:val="24"/>
          <w:lang w:val="lv-LV"/>
        </w:rPr>
      </w:pPr>
      <w:r>
        <w:rPr>
          <w:rFonts w:ascii="Times New Roman" w:hAnsi="Times New Roman"/>
          <w:color w:val="auto"/>
          <w:sz w:val="24"/>
          <w:szCs w:val="24"/>
          <w:lang w:val="lv-LV"/>
        </w:rPr>
        <w:t>5.5.Visi Līguma labojumi, grozījumi un papildus vienošanās noformējami rakstveidā, Pusēm savstarpēji vienojoties. Tie pievienojami Līgumam kā pielikumi un kļūst par šī Līguma neatņemamu sastāvdaļu ar to abpusējas parakstīšanas brīdi.</w:t>
      </w:r>
    </w:p>
    <w:p w:rsidR="002421A3" w:rsidRDefault="002421A3" w:rsidP="002421A3">
      <w:pPr>
        <w:pStyle w:val="txt1"/>
        <w:tabs>
          <w:tab w:val="clear" w:pos="397"/>
          <w:tab w:val="left" w:pos="720"/>
        </w:tabs>
        <w:rPr>
          <w:rFonts w:ascii="Times New Roman" w:hAnsi="Times New Roman"/>
          <w:color w:val="auto"/>
          <w:sz w:val="24"/>
          <w:szCs w:val="24"/>
          <w:lang w:val="lv-LV"/>
        </w:rPr>
      </w:pPr>
    </w:p>
    <w:p w:rsidR="002421A3" w:rsidRDefault="002421A3" w:rsidP="002421A3">
      <w:pPr>
        <w:pStyle w:val="txt1"/>
        <w:tabs>
          <w:tab w:val="clear" w:pos="397"/>
          <w:tab w:val="left" w:pos="720"/>
        </w:tabs>
        <w:rPr>
          <w:rFonts w:ascii="Times New Roman" w:hAnsi="Times New Roman"/>
          <w:color w:val="auto"/>
          <w:sz w:val="24"/>
          <w:szCs w:val="24"/>
          <w:lang w:val="lv-LV"/>
        </w:rPr>
      </w:pPr>
      <w:r>
        <w:rPr>
          <w:rFonts w:ascii="Times New Roman" w:hAnsi="Times New Roman"/>
          <w:color w:val="auto"/>
          <w:sz w:val="24"/>
          <w:szCs w:val="24"/>
          <w:lang w:val="lv-LV"/>
        </w:rPr>
        <w:t>5.6.Pušu paziņojumi, informācija, pretenzijas un cita sarakste skaitās nodota otrai pusei, ja tā ir nosūtīta ierakstītā vēstulē uz šajā līgumā norādīto attiecīgās puses adresi, vai iesniegta minētajā adresē pret parakstu, vai arī  pierādāmā veidā nosūtīta elektroniski uz e-pastu.</w:t>
      </w:r>
    </w:p>
    <w:p w:rsidR="002421A3" w:rsidRDefault="002421A3" w:rsidP="002421A3">
      <w:pPr>
        <w:jc w:val="both"/>
        <w:rPr>
          <w:rFonts w:ascii="Times New Roman" w:hAnsi="Times New Roman" w:cs="Times New Roman"/>
          <w:sz w:val="24"/>
          <w:szCs w:val="24"/>
        </w:rPr>
      </w:pPr>
    </w:p>
    <w:p w:rsidR="002421A3" w:rsidRDefault="002421A3" w:rsidP="002421A3">
      <w:pPr>
        <w:jc w:val="both"/>
        <w:rPr>
          <w:rFonts w:ascii="Times New Roman" w:hAnsi="Times New Roman" w:cs="Times New Roman"/>
          <w:sz w:val="24"/>
          <w:szCs w:val="24"/>
        </w:rPr>
      </w:pPr>
      <w:r>
        <w:rPr>
          <w:rFonts w:ascii="Times New Roman" w:hAnsi="Times New Roman" w:cs="Times New Roman"/>
          <w:sz w:val="24"/>
          <w:szCs w:val="24"/>
        </w:rPr>
        <w:t>5.7. Līgums ir sastādīts 3 (trīs) eksemplāros uz 3 (trīs) lapām, pa vienam eksemplāram katrai no līgumslēdzējpusēm, trešais Valsts meža dienesta attiecīgajai struktūrvienībai. Visiem līguma eksemplāriem ir vienāds juridiskais spēks.</w:t>
      </w:r>
    </w:p>
    <w:tbl>
      <w:tblPr>
        <w:tblW w:w="8790" w:type="dxa"/>
        <w:tblInd w:w="-108" w:type="dxa"/>
        <w:tblLayout w:type="fixed"/>
        <w:tblLook w:val="04A0" w:firstRow="1" w:lastRow="0" w:firstColumn="1" w:lastColumn="0" w:noHBand="0" w:noVBand="1"/>
      </w:tblPr>
      <w:tblGrid>
        <w:gridCol w:w="4395"/>
        <w:gridCol w:w="4395"/>
      </w:tblGrid>
      <w:tr w:rsidR="002421A3" w:rsidTr="002421A3">
        <w:trPr>
          <w:trHeight w:val="1760"/>
        </w:trPr>
        <w:tc>
          <w:tcPr>
            <w:tcW w:w="4394" w:type="dxa"/>
            <w:tcBorders>
              <w:top w:val="nil"/>
              <w:left w:val="nil"/>
              <w:bottom w:val="nil"/>
              <w:right w:val="nil"/>
            </w:tcBorders>
          </w:tcPr>
          <w:p w:rsidR="002421A3" w:rsidRDefault="002421A3">
            <w:pPr>
              <w:jc w:val="both"/>
              <w:rPr>
                <w:rFonts w:ascii="Times New Roman" w:hAnsi="Times New Roman" w:cs="Times New Roman"/>
                <w:b/>
                <w:sz w:val="24"/>
                <w:szCs w:val="24"/>
              </w:rPr>
            </w:pPr>
            <w:r>
              <w:rPr>
                <w:rFonts w:ascii="Times New Roman" w:hAnsi="Times New Roman" w:cs="Times New Roman"/>
                <w:b/>
                <w:sz w:val="24"/>
                <w:szCs w:val="24"/>
              </w:rPr>
              <w:lastRenderedPageBreak/>
              <w:t>6. Līgumslēdzēju juridiskās adreses un rekvizīti</w:t>
            </w:r>
          </w:p>
          <w:p w:rsidR="002421A3" w:rsidRDefault="002421A3">
            <w:pPr>
              <w:jc w:val="both"/>
              <w:rPr>
                <w:rFonts w:ascii="Times New Roman" w:hAnsi="Times New Roman" w:cs="Times New Roman"/>
                <w:b/>
                <w:bCs/>
                <w:sz w:val="24"/>
                <w:szCs w:val="24"/>
              </w:rPr>
            </w:pPr>
          </w:p>
          <w:p w:rsidR="002421A3" w:rsidRDefault="002421A3">
            <w:pPr>
              <w:jc w:val="both"/>
              <w:rPr>
                <w:rFonts w:ascii="Times New Roman" w:hAnsi="Times New Roman" w:cs="Times New Roman"/>
                <w:sz w:val="24"/>
                <w:szCs w:val="24"/>
              </w:rPr>
            </w:pPr>
            <w:r>
              <w:rPr>
                <w:rFonts w:ascii="Times New Roman" w:hAnsi="Times New Roman" w:cs="Times New Roman"/>
                <w:b/>
                <w:bCs/>
                <w:sz w:val="24"/>
                <w:szCs w:val="24"/>
              </w:rPr>
              <w:t xml:space="preserve">Pašvaldība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Alojas novada dome</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Kods __________________________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Konts __________________________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Pārvaldes vadītājs 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(paraksts)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z.v. </w:t>
            </w:r>
          </w:p>
        </w:tc>
        <w:tc>
          <w:tcPr>
            <w:tcW w:w="4394" w:type="dxa"/>
            <w:tcBorders>
              <w:top w:val="nil"/>
              <w:left w:val="nil"/>
              <w:bottom w:val="nil"/>
              <w:right w:val="nil"/>
            </w:tcBorders>
          </w:tcPr>
          <w:p w:rsidR="002421A3" w:rsidRDefault="002421A3">
            <w:pPr>
              <w:jc w:val="both"/>
              <w:rPr>
                <w:rFonts w:ascii="Times New Roman" w:hAnsi="Times New Roman" w:cs="Times New Roman"/>
                <w:b/>
                <w:bCs/>
                <w:sz w:val="24"/>
                <w:szCs w:val="24"/>
              </w:rPr>
            </w:pPr>
          </w:p>
          <w:p w:rsidR="002421A3" w:rsidRDefault="002421A3">
            <w:pPr>
              <w:jc w:val="both"/>
              <w:rPr>
                <w:rFonts w:ascii="Times New Roman" w:hAnsi="Times New Roman" w:cs="Times New Roman"/>
                <w:b/>
                <w:bCs/>
                <w:sz w:val="24"/>
                <w:szCs w:val="24"/>
              </w:rPr>
            </w:pPr>
          </w:p>
          <w:p w:rsidR="002421A3" w:rsidRDefault="002421A3">
            <w:pPr>
              <w:jc w:val="both"/>
              <w:rPr>
                <w:rFonts w:ascii="Times New Roman" w:hAnsi="Times New Roman" w:cs="Times New Roman"/>
                <w:sz w:val="24"/>
                <w:szCs w:val="24"/>
              </w:rPr>
            </w:pPr>
            <w:r>
              <w:rPr>
                <w:rFonts w:ascii="Times New Roman" w:hAnsi="Times New Roman" w:cs="Times New Roman"/>
                <w:b/>
                <w:bCs/>
                <w:sz w:val="24"/>
                <w:szCs w:val="24"/>
              </w:rPr>
              <w:t xml:space="preserve">Nomnieks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(paraksts) </w:t>
            </w:r>
          </w:p>
          <w:p w:rsidR="002421A3" w:rsidRDefault="002421A3">
            <w:pPr>
              <w:jc w:val="both"/>
              <w:rPr>
                <w:rFonts w:ascii="Times New Roman" w:hAnsi="Times New Roman" w:cs="Times New Roman"/>
                <w:sz w:val="24"/>
                <w:szCs w:val="24"/>
              </w:rPr>
            </w:pPr>
            <w:r>
              <w:rPr>
                <w:rFonts w:ascii="Times New Roman" w:hAnsi="Times New Roman" w:cs="Times New Roman"/>
                <w:sz w:val="24"/>
                <w:szCs w:val="24"/>
              </w:rPr>
              <w:t xml:space="preserve">z.v. </w:t>
            </w:r>
          </w:p>
        </w:tc>
      </w:tr>
    </w:tbl>
    <w:p w:rsidR="002421A3" w:rsidRDefault="002421A3" w:rsidP="002421A3">
      <w:pPr>
        <w:jc w:val="both"/>
        <w:rPr>
          <w:rFonts w:ascii="Times New Roman" w:hAnsi="Times New Roman" w:cs="Times New Roman"/>
          <w:sz w:val="24"/>
          <w:szCs w:val="24"/>
        </w:rPr>
      </w:pPr>
    </w:p>
    <w:p w:rsidR="008D4F60" w:rsidRDefault="008D4F60">
      <w:bookmarkStart w:id="0" w:name="_GoBack"/>
      <w:bookmarkEnd w:id="0"/>
    </w:p>
    <w:sectPr w:rsidR="008D4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665"/>
    <w:multiLevelType w:val="hybridMultilevel"/>
    <w:tmpl w:val="8A348DEE"/>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77A7E74"/>
    <w:multiLevelType w:val="multilevel"/>
    <w:tmpl w:val="744642DC"/>
    <w:lvl w:ilvl="0">
      <w:start w:val="1"/>
      <w:numFmt w:val="decimal"/>
      <w:lvlText w:val="%1."/>
      <w:lvlJc w:val="left"/>
      <w:pPr>
        <w:ind w:left="720" w:hanging="360"/>
      </w:pPr>
    </w:lvl>
    <w:lvl w:ilvl="1">
      <w:start w:val="6"/>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A3"/>
    <w:rsid w:val="002421A3"/>
    <w:rsid w:val="008D4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A3"/>
    <w:pPr>
      <w:spacing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2421A3"/>
    <w:pPr>
      <w:spacing w:after="0" w:line="240" w:lineRule="auto"/>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semiHidden/>
    <w:rsid w:val="002421A3"/>
    <w:rPr>
      <w:rFonts w:ascii="Arial" w:eastAsia="Times New Roman" w:hAnsi="Arial" w:cs="Times New Roman"/>
      <w:szCs w:val="20"/>
      <w:lang w:val="en-US"/>
    </w:rPr>
  </w:style>
  <w:style w:type="character" w:customStyle="1" w:styleId="NoSpacingChar">
    <w:name w:val="No Spacing Char"/>
    <w:basedOn w:val="DefaultParagraphFont"/>
    <w:link w:val="NoSpacing"/>
    <w:locked/>
    <w:rsid w:val="002421A3"/>
  </w:style>
  <w:style w:type="paragraph" w:styleId="NoSpacing">
    <w:name w:val="No Spacing"/>
    <w:link w:val="NoSpacingChar"/>
    <w:qFormat/>
    <w:rsid w:val="002421A3"/>
  </w:style>
  <w:style w:type="paragraph" w:customStyle="1" w:styleId="txt1">
    <w:name w:val="txt1"/>
    <w:rsid w:val="002421A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s="Times New Roman"/>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A3"/>
    <w:pPr>
      <w:spacing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2421A3"/>
    <w:pPr>
      <w:spacing w:after="0" w:line="240" w:lineRule="auto"/>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semiHidden/>
    <w:rsid w:val="002421A3"/>
    <w:rPr>
      <w:rFonts w:ascii="Arial" w:eastAsia="Times New Roman" w:hAnsi="Arial" w:cs="Times New Roman"/>
      <w:szCs w:val="20"/>
      <w:lang w:val="en-US"/>
    </w:rPr>
  </w:style>
  <w:style w:type="character" w:customStyle="1" w:styleId="NoSpacingChar">
    <w:name w:val="No Spacing Char"/>
    <w:basedOn w:val="DefaultParagraphFont"/>
    <w:link w:val="NoSpacing"/>
    <w:locked/>
    <w:rsid w:val="002421A3"/>
  </w:style>
  <w:style w:type="paragraph" w:styleId="NoSpacing">
    <w:name w:val="No Spacing"/>
    <w:link w:val="NoSpacingChar"/>
    <w:qFormat/>
    <w:rsid w:val="002421A3"/>
  </w:style>
  <w:style w:type="paragraph" w:customStyle="1" w:styleId="txt1">
    <w:name w:val="txt1"/>
    <w:rsid w:val="002421A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4440</Words>
  <Characters>2531</Characters>
  <Application>Microsoft Office Word</Application>
  <DocSecurity>0</DocSecurity>
  <Lines>21</Lines>
  <Paragraphs>13</Paragraphs>
  <ScaleCrop>false</ScaleCrop>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dc:creator>
  <cp:lastModifiedBy>PRESE</cp:lastModifiedBy>
  <cp:revision>2</cp:revision>
  <dcterms:created xsi:type="dcterms:W3CDTF">2014-11-13T13:57:00Z</dcterms:created>
  <dcterms:modified xsi:type="dcterms:W3CDTF">2014-11-13T13:58:00Z</dcterms:modified>
</cp:coreProperties>
</file>