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A0" w:firstRow="1" w:lastRow="0" w:firstColumn="1" w:lastColumn="0" w:noHBand="0" w:noVBand="0"/>
      </w:tblPr>
      <w:tblGrid>
        <w:gridCol w:w="5669"/>
        <w:gridCol w:w="3402"/>
      </w:tblGrid>
      <w:tr w:rsidR="006457AB" w:rsidTr="006457AB">
        <w:tc>
          <w:tcPr>
            <w:tcW w:w="3125" w:type="pct"/>
          </w:tcPr>
          <w:p w:rsidR="006457AB" w:rsidRDefault="006457AB" w:rsidP="006457AB">
            <w:pPr>
              <w:keepLines/>
              <w:autoSpaceDE w:val="0"/>
              <w:autoSpaceDN w:val="0"/>
              <w:adjustRightInd w:val="0"/>
              <w:spacing w:after="0" w:line="400" w:lineRule="auto"/>
              <w:ind w:right="113"/>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Valmierā</w:t>
            </w:r>
          </w:p>
          <w:p w:rsidR="006457AB" w:rsidRDefault="006457AB" w:rsidP="006457AB">
            <w:pPr>
              <w:keepLines/>
              <w:autoSpaceDE w:val="0"/>
              <w:autoSpaceDN w:val="0"/>
              <w:adjustRightInd w:val="0"/>
              <w:spacing w:after="0" w:line="240" w:lineRule="auto"/>
              <w:ind w:right="113"/>
              <w:rPr>
                <w:rFonts w:ascii="Times New Roman" w:hAnsi="Times New Roman" w:cs="Times New Roman"/>
                <w:color w:val="000000"/>
                <w:sz w:val="24"/>
                <w:szCs w:val="24"/>
              </w:rPr>
            </w:pPr>
            <w:r>
              <w:rPr>
                <w:rFonts w:ascii="Times New Roman" w:hAnsi="Times New Roman" w:cs="Times New Roman"/>
                <w:color w:val="000000"/>
                <w:sz w:val="24"/>
                <w:szCs w:val="24"/>
              </w:rPr>
              <w:t>Datumu skatīt dokumenta paraksta laika zīmogā.</w:t>
            </w:r>
          </w:p>
          <w:p w:rsidR="006457AB" w:rsidRDefault="006457AB" w:rsidP="006457AB">
            <w:pPr>
              <w:keepLines/>
              <w:autoSpaceDE w:val="0"/>
              <w:autoSpaceDN w:val="0"/>
              <w:adjustRightInd w:val="0"/>
              <w:spacing w:after="0" w:line="240" w:lineRule="auto"/>
              <w:ind w:right="113"/>
              <w:rPr>
                <w:rFonts w:ascii="Times New Roman" w:hAnsi="Times New Roman" w:cs="Times New Roman"/>
                <w:color w:val="000000"/>
                <w:sz w:val="24"/>
                <w:szCs w:val="24"/>
              </w:rPr>
            </w:pPr>
            <w:r>
              <w:rPr>
                <w:rFonts w:ascii="Times New Roman" w:hAnsi="Times New Roman" w:cs="Times New Roman"/>
                <w:color w:val="000000"/>
                <w:sz w:val="24"/>
                <w:szCs w:val="24"/>
              </w:rPr>
              <w:t>Reģistrācijas numuru skatīt pievienotajā failā Registracijas_numurs</w:t>
            </w:r>
          </w:p>
          <w:p w:rsidR="006457AB" w:rsidRDefault="006457AB" w:rsidP="006457AB">
            <w:pPr>
              <w:keepLines/>
              <w:autoSpaceDE w:val="0"/>
              <w:autoSpaceDN w:val="0"/>
              <w:adjustRightInd w:val="0"/>
              <w:spacing w:after="0" w:line="240" w:lineRule="auto"/>
              <w:ind w:right="113"/>
              <w:rPr>
                <w:rFonts w:ascii="Times New Roman" w:hAnsi="Times New Roman" w:cs="Times New Roman"/>
                <w:color w:val="000000"/>
                <w:sz w:val="24"/>
                <w:szCs w:val="24"/>
              </w:rPr>
            </w:pPr>
            <w:r>
              <w:rPr>
                <w:rFonts w:ascii="Times New Roman" w:hAnsi="Times New Roman" w:cs="Times New Roman"/>
                <w:color w:val="000000"/>
                <w:sz w:val="24"/>
                <w:szCs w:val="24"/>
              </w:rPr>
              <w:t>Uz 28.03.2019. Nr. -</w:t>
            </w:r>
          </w:p>
        </w:tc>
        <w:tc>
          <w:tcPr>
            <w:tcW w:w="1875" w:type="pct"/>
          </w:tcPr>
          <w:p w:rsidR="006457AB" w:rsidRDefault="006457AB" w:rsidP="006457AB">
            <w:pPr>
              <w:keepLines/>
              <w:autoSpaceDE w:val="0"/>
              <w:autoSpaceDN w:val="0"/>
              <w:adjustRightInd w:val="0"/>
              <w:spacing w:after="0" w:line="240" w:lineRule="auto"/>
              <w:jc w:val="right"/>
              <w:rPr>
                <w:rFonts w:ascii="Times New Roman" w:hAnsi="Times New Roman" w:cs="Times New Roman"/>
                <w:color w:val="000000"/>
                <w:sz w:val="24"/>
                <w:szCs w:val="24"/>
              </w:rPr>
            </w:pPr>
          </w:p>
          <w:p w:rsidR="006457AB" w:rsidRDefault="006457AB" w:rsidP="006457AB">
            <w:pPr>
              <w:keepLines/>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Alojas novada domei,</w:t>
            </w:r>
            <w:r>
              <w:rPr>
                <w:rFonts w:ascii="Times New Roman" w:hAnsi="Times New Roman" w:cs="Times New Roman"/>
                <w:color w:val="000000"/>
                <w:sz w:val="24"/>
                <w:szCs w:val="24"/>
              </w:rPr>
              <w:br/>
              <w:t>Jūras ielā 13, Aloja,</w:t>
            </w:r>
            <w:r>
              <w:rPr>
                <w:rFonts w:ascii="Times New Roman" w:hAnsi="Times New Roman" w:cs="Times New Roman"/>
                <w:color w:val="000000"/>
                <w:sz w:val="24"/>
                <w:szCs w:val="24"/>
              </w:rPr>
              <w:br/>
              <w:t>Alojas novads, LV-4064</w:t>
            </w:r>
          </w:p>
        </w:tc>
      </w:tr>
    </w:tbl>
    <w:p w:rsidR="006457AB" w:rsidRDefault="006457AB" w:rsidP="006457AB">
      <w:pPr>
        <w:autoSpaceDE w:val="0"/>
        <w:autoSpaceDN w:val="0"/>
        <w:adjustRightInd w:val="0"/>
        <w:spacing w:after="0" w:line="240" w:lineRule="auto"/>
        <w:rPr>
          <w:rFonts w:ascii="Times New Roman" w:hAnsi="Times New Roman" w:cs="Times New Roman"/>
          <w:color w:val="000000"/>
          <w:sz w:val="24"/>
          <w:szCs w:val="24"/>
        </w:rPr>
      </w:pPr>
    </w:p>
    <w:tbl>
      <w:tblPr>
        <w:tblW w:w="5000" w:type="pct"/>
        <w:tblCellMar>
          <w:left w:w="0" w:type="dxa"/>
          <w:right w:w="0" w:type="dxa"/>
        </w:tblCellMar>
        <w:tblLook w:val="00A0" w:firstRow="1" w:lastRow="0" w:firstColumn="1" w:lastColumn="0" w:noHBand="0" w:noVBand="0"/>
      </w:tblPr>
      <w:tblGrid>
        <w:gridCol w:w="9071"/>
      </w:tblGrid>
      <w:tr w:rsidR="006457AB" w:rsidTr="006457AB">
        <w:tc>
          <w:tcPr>
            <w:tcW w:w="5000" w:type="pct"/>
          </w:tcPr>
          <w:p w:rsidR="006457AB" w:rsidRDefault="006457AB" w:rsidP="006457AB">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 tehniskajiem noteikumiem</w:t>
            </w:r>
          </w:p>
        </w:tc>
      </w:tr>
    </w:tbl>
    <w:p w:rsidR="006457AB" w:rsidRDefault="006457AB" w:rsidP="006457AB">
      <w:pPr>
        <w:autoSpaceDE w:val="0"/>
        <w:autoSpaceDN w:val="0"/>
        <w:adjustRightInd w:val="0"/>
        <w:spacing w:after="0" w:line="240" w:lineRule="auto"/>
        <w:jc w:val="both"/>
        <w:rPr>
          <w:rFonts w:ascii="Times New Roman" w:hAnsi="Times New Roman" w:cs="Times New Roman"/>
          <w:color w:val="000000"/>
          <w:sz w:val="24"/>
          <w:szCs w:val="24"/>
        </w:rPr>
      </w:pPr>
    </w:p>
    <w:tbl>
      <w:tblPr>
        <w:tblW w:w="5000" w:type="pct"/>
        <w:tblCellMar>
          <w:left w:w="0" w:type="dxa"/>
          <w:right w:w="0" w:type="dxa"/>
        </w:tblCellMar>
        <w:tblLook w:val="00A0" w:firstRow="1" w:lastRow="0" w:firstColumn="1" w:lastColumn="0" w:noHBand="0" w:noVBand="0"/>
      </w:tblPr>
      <w:tblGrid>
        <w:gridCol w:w="9071"/>
      </w:tblGrid>
      <w:tr w:rsidR="006457AB" w:rsidTr="006457AB">
        <w:tc>
          <w:tcPr>
            <w:tcW w:w="5000" w:type="pct"/>
          </w:tcPr>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Tehniskie noteikumi elektroiekārtu pārvietošanai</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b/>
                <w:bCs/>
                <w:color w:val="000000"/>
                <w:sz w:val="24"/>
                <w:szCs w:val="24"/>
              </w:rPr>
              <w:t>OBJEKTA RAKSTUROJUMS</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 Pamatojums: 28.03.2019 iesniegums.</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 Pieprasītājs: Alojas novada dome.</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atrašanās vieta (adrese): Staicele, Alojas novads.</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p>
          <w:p w:rsidR="006457AB" w:rsidRDefault="006457AB" w:rsidP="006457AB">
            <w:pPr>
              <w:keepLines/>
              <w:autoSpaceDE w:val="0"/>
              <w:autoSpaceDN w:val="0"/>
              <w:adjustRightInd w:val="0"/>
              <w:spacing w:after="120" w:line="24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b/>
                <w:bCs/>
                <w:color w:val="000000"/>
                <w:sz w:val="24"/>
                <w:szCs w:val="24"/>
              </w:rPr>
              <w:t>NORĀDĪJUMI PROJEKTĒŠANAI</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b/>
                <w:bCs/>
                <w:i/>
                <w:iCs/>
                <w:color w:val="000000"/>
                <w:sz w:val="24"/>
                <w:szCs w:val="24"/>
                <w:u w:val="single"/>
              </w:rPr>
            </w:pPr>
            <w:r>
              <w:rPr>
                <w:rFonts w:ascii="Times New Roman" w:hAnsi="Times New Roman" w:cs="Times New Roman"/>
                <w:b/>
                <w:bCs/>
                <w:i/>
                <w:iCs/>
                <w:color w:val="000000"/>
                <w:sz w:val="24"/>
                <w:szCs w:val="24"/>
                <w:u w:val="single"/>
              </w:rPr>
              <w:t>0.4kV elektroietaises:</w:t>
            </w:r>
          </w:p>
          <w:p w:rsidR="006457AB" w:rsidRDefault="006457AB" w:rsidP="006457AB">
            <w:pPr>
              <w:keepLine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2.1.</w:t>
            </w:r>
            <w:r>
              <w:rPr>
                <w:rFonts w:ascii="Tms Rmn" w:hAnsi="Tms Rmn" w:cs="Tms Rmn"/>
                <w:color w:val="000000"/>
                <w:sz w:val="24"/>
                <w:szCs w:val="24"/>
              </w:rPr>
              <w:tab/>
              <w:t>Pārvietot ielu apgaismošanas barošanas, vadības un uzskaites iekārtas ārpus TP-4626 “Salaca” 0,4kV sadales.</w:t>
            </w:r>
          </w:p>
          <w:p w:rsidR="006457AB" w:rsidRDefault="006457AB" w:rsidP="006457AB">
            <w:pPr>
              <w:keepLines/>
              <w:autoSpaceDE w:val="0"/>
              <w:autoSpaceDN w:val="0"/>
              <w:adjustRightInd w:val="0"/>
              <w:spacing w:after="0" w:line="240" w:lineRule="auto"/>
              <w:ind w:firstLine="720"/>
              <w:jc w:val="both"/>
              <w:rPr>
                <w:rFonts w:ascii="Tms Rmn" w:hAnsi="Tms Rmn" w:cs="Tms Rmn"/>
                <w:color w:val="000000"/>
                <w:sz w:val="24"/>
                <w:szCs w:val="24"/>
              </w:rPr>
            </w:pPr>
          </w:p>
          <w:p w:rsidR="006457AB" w:rsidRDefault="006457AB" w:rsidP="006457AB">
            <w:pPr>
              <w:keepLines/>
              <w:autoSpaceDE w:val="0"/>
              <w:autoSpaceDN w:val="0"/>
              <w:adjustRightInd w:val="0"/>
              <w:spacing w:after="120" w:line="24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b/>
                <w:bCs/>
                <w:color w:val="000000"/>
                <w:sz w:val="24"/>
                <w:szCs w:val="24"/>
              </w:rPr>
              <w:t>PĀRĒJĀS PRASĪBAS</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3.1.</w:t>
            </w:r>
            <w:r>
              <w:rPr>
                <w:rFonts w:ascii="Tms Rmn" w:hAnsi="Tms Rmn" w:cs="Tms Rmn"/>
                <w:color w:val="000000"/>
                <w:sz w:val="24"/>
                <w:szCs w:val="24"/>
              </w:rPr>
              <w:tab/>
              <w:t>Būvprojektu izstrādāt atbilstoši Latvijas Republikā spēkā esošajiem normatīvajiem aktiem (Latvijas būvnormatīviem, Ministru kabineta noteikumiem, Pašvaldību saistošajiem noteikumiem, Latvijas energostandartiem u.c.), kas regulē elektroietaišu projektēšanu un izbūvi.</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3.2.</w:t>
            </w:r>
            <w:r>
              <w:rPr>
                <w:rFonts w:ascii="Tms Rmn" w:hAnsi="Tms Rmn" w:cs="Tms Rmn"/>
                <w:color w:val="000000"/>
                <w:sz w:val="24"/>
                <w:szCs w:val="24"/>
              </w:rPr>
              <w:tab/>
              <w:t>Būvprojekta materiālu specifikācijas un darbu apjomus izstrādāt atbilstoši jaunākajam AS "Sadales tīkls" apstiprinātam elektrotīklu materiālu un iekārtu grupu, apakšgrupu un kategoriju katalogam un darbu kalkulāciju sarakstam.</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3.3.</w:t>
            </w:r>
            <w:r>
              <w:rPr>
                <w:rFonts w:ascii="Tms Rmn" w:hAnsi="Tms Rmn" w:cs="Tms Rmn"/>
                <w:color w:val="000000"/>
                <w:sz w:val="24"/>
                <w:szCs w:val="24"/>
              </w:rPr>
              <w:tab/>
              <w:t>Būvprojektā iekļaut izvērtējumu par būves izmantošanas pieļaujamību būvdarbu laikā, pirms visa būvobjekta pieņemšanas ekspluatācijā.</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3.4.</w:t>
            </w:r>
            <w:r>
              <w:rPr>
                <w:rFonts w:ascii="Tms Rmn" w:hAnsi="Tms Rmn" w:cs="Tms Rmn"/>
                <w:color w:val="000000"/>
                <w:sz w:val="24"/>
                <w:szCs w:val="24"/>
              </w:rPr>
              <w:tab/>
              <w:t>Būvprojektā ir jāiekļauj zemes īpašnieku saraksts, kurus būvorganizācijai ir jābrīdina pirms būvdarbu uzsākšanas.</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3.5.</w:t>
            </w:r>
            <w:r>
              <w:rPr>
                <w:rFonts w:ascii="Tms Rmn" w:hAnsi="Tms Rmn" w:cs="Tms Rmn"/>
                <w:color w:val="000000"/>
                <w:sz w:val="24"/>
                <w:szCs w:val="24"/>
              </w:rPr>
              <w:tab/>
              <w:t>Visus nosacījumus, kas radušies saskaņojot projektu ar zemju īpašniekiem vai šķērsojamo komunikāciju īpašniekiem, apkopot uz atsevišķas lapas.</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3.6.</w:t>
            </w:r>
            <w:r>
              <w:rPr>
                <w:rFonts w:ascii="Tms Rmn" w:hAnsi="Tms Rmn" w:cs="Tms Rmn"/>
                <w:color w:val="000000"/>
                <w:sz w:val="24"/>
                <w:szCs w:val="24"/>
              </w:rPr>
              <w:tab/>
              <w:t>Būvprojektam pievienot elektrotīklu konstruktīvo elementu izpildījuma rasējumus, ja nav pielietoti LEK standarta risinājumi.</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3.7.</w:t>
            </w:r>
            <w:r>
              <w:rPr>
                <w:rFonts w:ascii="Tms Rmn" w:hAnsi="Tms Rmn" w:cs="Tms Rmn"/>
                <w:color w:val="000000"/>
                <w:sz w:val="24"/>
                <w:szCs w:val="24"/>
              </w:rPr>
              <w:tab/>
              <w:t>Elektrotīkla pārejām pār šķēršļiem un šķērsojumiem ar citām inženierkomunikācijām jābūt izstrādātiem līniju trašu šķērsprofiliem, atbilstošajā mērogā.</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lastRenderedPageBreak/>
              <w:t>3.8.</w:t>
            </w:r>
            <w:r>
              <w:rPr>
                <w:rFonts w:ascii="Tms Rmn" w:hAnsi="Tms Rmn" w:cs="Tms Rmn"/>
                <w:color w:val="000000"/>
                <w:sz w:val="24"/>
                <w:szCs w:val="24"/>
              </w:rPr>
              <w:tab/>
              <w:t>Būvprojektam ir jāpievieno darbu izpildes plāns ar objekta izbūvei nepieciešamo atslēgumu skaitu un katra atslēguma ilgumu, atslēdzamo elektrolīnijas posmu, atslēdzamo klientu skaitu un aprēķinātām klientstundām, veicamo darbu aprakstu, nepieciešamo brigāžu un darbinieku skaitu un elektroapgādes shēma ar realizācijas posmiem.</w:t>
            </w:r>
          </w:p>
          <w:p w:rsidR="006457AB" w:rsidRDefault="006457AB" w:rsidP="006457AB">
            <w:pPr>
              <w:keepLines/>
              <w:tabs>
                <w:tab w:val="left" w:pos="426"/>
              </w:tabs>
              <w:autoSpaceDE w:val="0"/>
              <w:autoSpaceDN w:val="0"/>
              <w:adjustRightInd w:val="0"/>
              <w:spacing w:after="0" w:line="240" w:lineRule="auto"/>
              <w:ind w:firstLine="720"/>
              <w:jc w:val="both"/>
              <w:rPr>
                <w:rFonts w:ascii="Tms Rmn" w:hAnsi="Tms Rmn" w:cs="Tms Rmn"/>
                <w:color w:val="000000"/>
                <w:sz w:val="24"/>
                <w:szCs w:val="24"/>
              </w:rPr>
            </w:pPr>
            <w:r>
              <w:rPr>
                <w:rFonts w:ascii="Tms Rmn" w:hAnsi="Tms Rmn" w:cs="Tms Rmn"/>
                <w:color w:val="000000"/>
                <w:sz w:val="24"/>
                <w:szCs w:val="24"/>
              </w:rPr>
              <w:t>3.9.</w:t>
            </w:r>
            <w:r>
              <w:rPr>
                <w:rFonts w:ascii="Tms Rmn" w:hAnsi="Tms Rmn" w:cs="Tms Rmn"/>
                <w:color w:val="000000"/>
                <w:sz w:val="24"/>
                <w:szCs w:val="24"/>
              </w:rPr>
              <w:tab/>
              <w:t>Būvprojektu saskaņot ar Valsts uzraudzības dienestiem, virszemes un apakšzemes komunikāciju īpašniekiem un zemes īpašniekiem.</w:t>
            </w:r>
          </w:p>
          <w:p w:rsidR="006457AB" w:rsidRDefault="006457AB" w:rsidP="006457AB">
            <w:pPr>
              <w:keepLines/>
              <w:tabs>
                <w:tab w:val="left" w:pos="426"/>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Pr>
                <w:rFonts w:ascii="Times New Roman" w:hAnsi="Times New Roman" w:cs="Times New Roman"/>
                <w:color w:val="000000"/>
                <w:sz w:val="24"/>
                <w:szCs w:val="24"/>
              </w:rPr>
              <w:tab/>
              <w:t>Būvprojekta dokumentācija papīra formātā tiek saskaņota pēc tam, kad ir pabeigta elektroniskā izskatīšana “KvikSTEPS” vidē. Par būvprojekta izskatīšanu  atbildīgā persona no AS “Sadales tīkls” puses ir Ziemeļu tehniskās daļas elektroinženieris (S).</w:t>
            </w:r>
          </w:p>
          <w:p w:rsidR="006457AB" w:rsidRDefault="006457AB" w:rsidP="006457AB">
            <w:pPr>
              <w:keepLines/>
              <w:tabs>
                <w:tab w:val="left" w:pos="426"/>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Pr>
                <w:rFonts w:ascii="Times New Roman" w:hAnsi="Times New Roman" w:cs="Times New Roman"/>
                <w:color w:val="000000"/>
                <w:sz w:val="24"/>
                <w:szCs w:val="24"/>
              </w:rPr>
              <w:tab/>
              <w:t xml:space="preserve">Būvprojektu papīra formātā saskaņot AS "Sadales tīkls" Tīkla pārvaldības funkcijas Ziemeļu tehniskā daļā, Raiņa ielā 14, Valmierā. Pieņemšanas laiki publicēti AS "Sadales tīkls" mājaslapā </w:t>
            </w:r>
            <w:hyperlink r:id="rId6" w:history="1">
              <w:r>
                <w:rPr>
                  <w:rFonts w:ascii="Times New Roman" w:hAnsi="Times New Roman" w:cs="Times New Roman"/>
                  <w:color w:val="0000FF"/>
                  <w:sz w:val="24"/>
                  <w:szCs w:val="24"/>
                </w:rPr>
                <w:t>www.sadalestikls.lv</w:t>
              </w:r>
            </w:hyperlink>
            <w:r>
              <w:rPr>
                <w:rFonts w:ascii="Times New Roman" w:hAnsi="Times New Roman" w:cs="Times New Roman"/>
                <w:color w:val="000000"/>
                <w:sz w:val="24"/>
                <w:szCs w:val="24"/>
              </w:rPr>
              <w:t>.</w:t>
            </w:r>
          </w:p>
          <w:p w:rsidR="006457AB" w:rsidRDefault="006457AB" w:rsidP="006457AB">
            <w:pPr>
              <w:keepLines/>
              <w:tabs>
                <w:tab w:val="left" w:pos="426"/>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Pr>
                <w:rFonts w:ascii="Times New Roman" w:hAnsi="Times New Roman" w:cs="Times New Roman"/>
                <w:color w:val="000000"/>
                <w:sz w:val="24"/>
                <w:szCs w:val="24"/>
              </w:rPr>
              <w:tab/>
              <w:t>Pilnā apjomā izstrādāta būvprojekta 2 (divus) oriģināla eksemplārus ar visiem oriģinālajiem skaņojumiem un 2 (divas)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w:t>
            </w:r>
          </w:p>
          <w:p w:rsidR="006457AB" w:rsidRDefault="006457AB" w:rsidP="006457AB">
            <w:pPr>
              <w:keepLines/>
              <w:tabs>
                <w:tab w:val="left" w:pos="426"/>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Pr>
                <w:rFonts w:ascii="Times New Roman" w:hAnsi="Times New Roman" w:cs="Times New Roman"/>
                <w:color w:val="000000"/>
                <w:sz w:val="24"/>
                <w:szCs w:val="24"/>
              </w:rPr>
              <w:tab/>
              <w:t>Ar šiem Tehniskiem noteikumiem, lai uzsāktu būvprojekta izstrādi tiesību normatīvajos aktos noteiktajā kārtībā, AS "Sadales tīkls" pilnvaro Pieprasītāju, un tā būvprojekta izstrādātāju,  AS "Sadales tīkls" vārdā saņemt būvvaldes projektēšanas nosacījumus pirms būvniecības ieceres iesniegšanas būvvaldē (1.būvju grupai), sagatavot, parakstīt un iesniegt būvvaldē būvniecības ieceres dokumentus (būvniecības ieceres iesniegumu, būvprojektu minimālā sastāvā (2. un 3. būvju grupas būvēm), paskaidrojuma rakstu (1.grupas būvēm) vai apliecinājuma karti (2. un 3.grupas būvju atjaunošanai)), būvprojektu un saņemt būvvaldes akceptu par būvniecības ieceri (atzīmi paskaidrojuma rakstā vai apliecinājuma kartē) vai būvatļauju ar būvprojektēšanas nosacījumiem, saņemt būvvaldes atzīmi būvatļaujā par būvprojektēšanas nosacījumu izpildi, kā arī normatīvajos aktos noteiktajos gadījumos nodrošināt būvvaldes informēšanas procedūru, ja elektroietaišu būvdarbu veikšanai būvvaldes saskaņojums (akcepts uz paskaidrojuma raksta vai apliecinājuma kartes, būvvaldes izsniegta būvatļauja) nav nepieciešams. Atgādinām, ka Pieprasītājam un būvprojekta izstrādātājam ir pienākums nodrošināt būvniecības ieceres vai būvprojekta saskaņošanu ar nekustamā īpašuma īpašniekiem.</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Pr>
                <w:rFonts w:ascii="Times New Roman" w:hAnsi="Times New Roman" w:cs="Times New Roman"/>
                <w:color w:val="000000"/>
                <w:sz w:val="24"/>
                <w:szCs w:val="24"/>
              </w:rPr>
              <w:tab/>
              <w:t xml:space="preserve">Būvprojektu var izstrādāt būvkomersantu reģistrā reģistrēti projektēšanas komersanti kuru kontaktinformāciju var atrast internetā mājas lapā </w:t>
            </w:r>
            <w:hyperlink r:id="rId7" w:history="1">
              <w:r>
                <w:rPr>
                  <w:rFonts w:ascii="Times New Roman" w:hAnsi="Times New Roman" w:cs="Times New Roman"/>
                  <w:color w:val="000000"/>
                  <w:sz w:val="24"/>
                  <w:szCs w:val="24"/>
                </w:rPr>
                <w:t>https://bis.gov.lv/bisp/lv/specialist_certificates</w:t>
              </w:r>
            </w:hyperlink>
            <w:r>
              <w:rPr>
                <w:rFonts w:ascii="Times New Roman" w:hAnsi="Times New Roman" w:cs="Times New Roman"/>
                <w:color w:val="000000"/>
                <w:sz w:val="24"/>
                <w:szCs w:val="24"/>
              </w:rPr>
              <w:t>.</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Pr>
                <w:rFonts w:ascii="Times New Roman" w:hAnsi="Times New Roman" w:cs="Times New Roman"/>
                <w:color w:val="000000"/>
                <w:sz w:val="24"/>
                <w:szCs w:val="24"/>
              </w:rPr>
              <w:tab/>
              <w:t>Enerģētikas likuma 23.panta 2.daļa nosaka, ka esošo energoapgādes komersantu objektu pārvietošanu pēc pamatotas nekustamā īpašuma īpašnieka prasības veic par nekustamā īpašuma īpašnieka līdzekļiem. Tas nozīme, ka esošo energoapgādes objektu pārvietošanu var veikt tikai tādā gadījumā, ja ir atrasts to pārvietošanas tehniskais risinājums un pārvietošanas ierosinātājs (zemes īpašnieks) sedz nepieciešamās darbu izmaksas. Pārvietošanas izmaksās tiek iekļautas arī jauna elektroapgādes objekta projektēšanas un izbūves izmaksas.</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Pr>
                <w:rFonts w:ascii="Times New Roman" w:hAnsi="Times New Roman" w:cs="Times New Roman"/>
                <w:color w:val="000000"/>
                <w:sz w:val="24"/>
                <w:szCs w:val="24"/>
              </w:rPr>
              <w:tab/>
              <w:t>Tehniskie noteikumi derīgi 1 (vienu) gadu no izdošanas datuma.</w:t>
            </w:r>
          </w:p>
          <w:p w:rsidR="006457AB" w:rsidRDefault="006457AB" w:rsidP="006457AB">
            <w:pPr>
              <w:keepLines/>
              <w:autoSpaceDE w:val="0"/>
              <w:autoSpaceDN w:val="0"/>
              <w:adjustRightInd w:val="0"/>
              <w:spacing w:after="0" w:line="240" w:lineRule="auto"/>
              <w:ind w:firstLine="720"/>
              <w:jc w:val="both"/>
              <w:rPr>
                <w:rFonts w:ascii="Times New Roman" w:hAnsi="Times New Roman" w:cs="Times New Roman"/>
                <w:color w:val="000000"/>
                <w:sz w:val="24"/>
                <w:szCs w:val="24"/>
              </w:rPr>
            </w:pPr>
          </w:p>
        </w:tc>
      </w:tr>
    </w:tbl>
    <w:p w:rsidR="006457AB" w:rsidRDefault="006457AB" w:rsidP="006457AB">
      <w:pPr>
        <w:autoSpaceDE w:val="0"/>
        <w:autoSpaceDN w:val="0"/>
        <w:adjustRightInd w:val="0"/>
        <w:spacing w:after="0" w:line="240" w:lineRule="auto"/>
        <w:rPr>
          <w:rFonts w:ascii="Times New Roman" w:hAnsi="Times New Roman" w:cs="Times New Roman"/>
          <w:color w:val="000000"/>
          <w:sz w:val="24"/>
          <w:szCs w:val="24"/>
        </w:rPr>
      </w:pPr>
    </w:p>
    <w:p w:rsidR="006457AB" w:rsidRDefault="006457AB" w:rsidP="006457AB">
      <w:pPr>
        <w:autoSpaceDE w:val="0"/>
        <w:autoSpaceDN w:val="0"/>
        <w:adjustRightInd w:val="0"/>
        <w:spacing w:after="0" w:line="240" w:lineRule="auto"/>
        <w:rPr>
          <w:rFonts w:ascii="Times New Roman" w:hAnsi="Times New Roman" w:cs="Times New Roman"/>
          <w:color w:val="000000"/>
          <w:sz w:val="24"/>
          <w:szCs w:val="24"/>
        </w:rPr>
      </w:pPr>
    </w:p>
    <w:p w:rsidR="006457AB" w:rsidRDefault="006457AB" w:rsidP="006457AB">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Šis dokuments ir parakstīts ar drošu elektronisko parakstu un satur laika zīmogu.</w:t>
      </w:r>
    </w:p>
    <w:p w:rsidR="006457AB" w:rsidRDefault="006457AB" w:rsidP="006457AB">
      <w:pPr>
        <w:autoSpaceDE w:val="0"/>
        <w:autoSpaceDN w:val="0"/>
        <w:adjustRightInd w:val="0"/>
        <w:spacing w:after="0" w:line="240" w:lineRule="auto"/>
        <w:rPr>
          <w:rFonts w:ascii="Times New Roman" w:hAnsi="Times New Roman" w:cs="Times New Roman"/>
          <w:i/>
          <w:iCs/>
          <w:color w:val="000000"/>
          <w:sz w:val="20"/>
          <w:szCs w:val="20"/>
        </w:rPr>
      </w:pPr>
    </w:p>
    <w:tbl>
      <w:tblPr>
        <w:tblW w:w="5000" w:type="pct"/>
        <w:tblCellMar>
          <w:left w:w="0" w:type="dxa"/>
          <w:right w:w="0" w:type="dxa"/>
        </w:tblCellMar>
        <w:tblLook w:val="00A0" w:firstRow="1" w:lastRow="0" w:firstColumn="1" w:lastColumn="0" w:noHBand="0" w:noVBand="0"/>
      </w:tblPr>
      <w:tblGrid>
        <w:gridCol w:w="4386"/>
        <w:gridCol w:w="276"/>
        <w:gridCol w:w="4409"/>
      </w:tblGrid>
      <w:tr w:rsidR="006457AB" w:rsidTr="006457AB">
        <w:tc>
          <w:tcPr>
            <w:tcW w:w="2418" w:type="pct"/>
          </w:tcPr>
          <w:p w:rsidR="006457AB" w:rsidRDefault="006457AB" w:rsidP="006457AB">
            <w:pPr>
              <w:keepLines/>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Ziemeļu daļas vadītājs</w:t>
            </w:r>
          </w:p>
        </w:tc>
        <w:tc>
          <w:tcPr>
            <w:tcW w:w="152" w:type="pct"/>
          </w:tcPr>
          <w:p w:rsidR="006457AB" w:rsidRDefault="006457AB" w:rsidP="006457AB">
            <w:pPr>
              <w:keepLines/>
              <w:autoSpaceDE w:val="0"/>
              <w:autoSpaceDN w:val="0"/>
              <w:adjustRightInd w:val="0"/>
              <w:spacing w:after="0" w:line="360" w:lineRule="auto"/>
              <w:ind w:left="15"/>
              <w:rPr>
                <w:rFonts w:ascii="Times New Roman" w:hAnsi="Times New Roman" w:cs="Times New Roman"/>
                <w:color w:val="000000"/>
                <w:sz w:val="24"/>
                <w:szCs w:val="24"/>
              </w:rPr>
            </w:pPr>
          </w:p>
        </w:tc>
        <w:tc>
          <w:tcPr>
            <w:tcW w:w="2430" w:type="pct"/>
          </w:tcPr>
          <w:p w:rsidR="006457AB" w:rsidRDefault="006457AB" w:rsidP="006457AB">
            <w:pPr>
              <w:keepLines/>
              <w:autoSpaceDE w:val="0"/>
              <w:autoSpaceDN w:val="0"/>
              <w:adjustRightInd w:val="0"/>
              <w:spacing w:after="0" w:line="360" w:lineRule="auto"/>
              <w:ind w:left="15" w:right="283"/>
              <w:jc w:val="right"/>
              <w:rPr>
                <w:rFonts w:ascii="Times New Roman" w:hAnsi="Times New Roman" w:cs="Times New Roman"/>
                <w:color w:val="000000"/>
                <w:sz w:val="24"/>
                <w:szCs w:val="24"/>
              </w:rPr>
            </w:pPr>
            <w:r>
              <w:rPr>
                <w:rFonts w:ascii="Times New Roman" w:hAnsi="Times New Roman" w:cs="Times New Roman"/>
                <w:color w:val="000000"/>
                <w:sz w:val="24"/>
                <w:szCs w:val="24"/>
              </w:rPr>
              <w:t>Ivo Leoke</w:t>
            </w:r>
          </w:p>
        </w:tc>
      </w:tr>
    </w:tbl>
    <w:p w:rsidR="006457AB" w:rsidRDefault="006457AB" w:rsidP="006457AB">
      <w:pPr>
        <w:autoSpaceDE w:val="0"/>
        <w:autoSpaceDN w:val="0"/>
        <w:adjustRightInd w:val="0"/>
        <w:spacing w:after="0" w:line="240" w:lineRule="auto"/>
        <w:rPr>
          <w:rFonts w:ascii="Times New Roman" w:hAnsi="Times New Roman" w:cs="Times New Roman"/>
          <w:color w:val="000000"/>
          <w:sz w:val="24"/>
          <w:szCs w:val="24"/>
        </w:rPr>
      </w:pPr>
    </w:p>
    <w:p w:rsidR="006457AB" w:rsidRDefault="006457AB" w:rsidP="006457AB">
      <w:pPr>
        <w:autoSpaceDE w:val="0"/>
        <w:autoSpaceDN w:val="0"/>
        <w:adjustRightInd w:val="0"/>
        <w:spacing w:after="0" w:line="240" w:lineRule="auto"/>
        <w:rPr>
          <w:rFonts w:ascii="Times New Roman" w:hAnsi="Times New Roman" w:cs="Times New Roman"/>
          <w:color w:val="000000"/>
          <w:sz w:val="24"/>
          <w:szCs w:val="24"/>
        </w:rPr>
      </w:pPr>
    </w:p>
    <w:tbl>
      <w:tblPr>
        <w:tblW w:w="5000" w:type="pct"/>
        <w:tblCellMar>
          <w:left w:w="0" w:type="dxa"/>
          <w:right w:w="0" w:type="dxa"/>
        </w:tblCellMar>
        <w:tblLook w:val="00A0" w:firstRow="1" w:lastRow="0" w:firstColumn="1" w:lastColumn="0" w:noHBand="0" w:noVBand="0"/>
      </w:tblPr>
      <w:tblGrid>
        <w:gridCol w:w="9071"/>
      </w:tblGrid>
      <w:tr w:rsidR="006457AB" w:rsidTr="006457AB">
        <w:tc>
          <w:tcPr>
            <w:tcW w:w="5000" w:type="pct"/>
          </w:tcPr>
          <w:p w:rsidR="006457AB" w:rsidRDefault="006457AB" w:rsidP="006457AB">
            <w:pPr>
              <w:keepLine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Juris Paeglis 64010800</w:t>
            </w:r>
          </w:p>
        </w:tc>
      </w:tr>
    </w:tbl>
    <w:p w:rsidR="005766AC" w:rsidRPr="00E77323" w:rsidRDefault="005766AC" w:rsidP="006457AB">
      <w:pPr>
        <w:rPr>
          <w:rFonts w:ascii="Times New Roman" w:hAnsi="Times New Roman" w:cs="Times New Roman"/>
          <w:sz w:val="24"/>
          <w:szCs w:val="24"/>
        </w:rPr>
      </w:pPr>
    </w:p>
    <w:sectPr w:rsidR="005766AC" w:rsidRPr="00E77323" w:rsidSect="007F566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0D" w:rsidRDefault="00A6000D" w:rsidP="00117405">
      <w:pPr>
        <w:spacing w:after="0" w:line="240" w:lineRule="auto"/>
      </w:pPr>
      <w:r>
        <w:separator/>
      </w:r>
    </w:p>
  </w:endnote>
  <w:endnote w:type="continuationSeparator" w:id="0">
    <w:p w:rsidR="00A6000D" w:rsidRDefault="00A6000D" w:rsidP="001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AB" w:rsidRDefault="006457A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AB" w:rsidRDefault="006457A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AB" w:rsidRDefault="006457A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0D" w:rsidRDefault="00A6000D" w:rsidP="00117405">
      <w:pPr>
        <w:spacing w:after="0" w:line="240" w:lineRule="auto"/>
      </w:pPr>
      <w:r>
        <w:separator/>
      </w:r>
    </w:p>
  </w:footnote>
  <w:footnote w:type="continuationSeparator" w:id="0">
    <w:p w:rsidR="00A6000D" w:rsidRDefault="00A6000D" w:rsidP="0011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AB" w:rsidRDefault="006457A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AB" w:rsidRDefault="006457A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atabula"/>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1"/>
    </w:tblGrid>
    <w:tr w:rsidR="007F566F" w:rsidRPr="007F566F" w:rsidTr="007F566F">
      <w:trPr>
        <w:cantSplit/>
        <w:trHeight w:val="3515"/>
        <w:jc w:val="center"/>
      </w:trPr>
      <w:tc>
        <w:tcPr>
          <w:tcW w:w="9061" w:type="dxa"/>
        </w:tcPr>
        <w:p w:rsidR="007F566F" w:rsidRPr="007F566F" w:rsidRDefault="007F566F">
          <w:pPr>
            <w:pStyle w:val="Galvene"/>
            <w:rPr>
              <w:rFonts w:ascii="Times New Roman" w:hAnsi="Times New Roman" w:cs="Times New Roman"/>
              <w:b/>
              <w:sz w:val="24"/>
              <w:szCs w:val="24"/>
            </w:rPr>
          </w:pPr>
        </w:p>
      </w:tc>
    </w:tr>
  </w:tbl>
  <w:p w:rsidR="00526744" w:rsidRDefault="00526744">
    <w:pPr>
      <w:pStyle w:val="Galvene"/>
    </w:pPr>
    <w:r>
      <w:rPr>
        <w:rFonts w:ascii="Times New Roman" w:hAnsi="Times New Roman" w:cs="Times New Roman"/>
        <w:noProof/>
        <w:sz w:val="24"/>
        <w:szCs w:val="24"/>
        <w:lang w:eastAsia="lv-LV"/>
      </w:rPr>
      <w:drawing>
        <wp:anchor distT="0" distB="0" distL="114300" distR="114300" simplePos="0" relativeHeight="251661312" behindDoc="1" locked="0" layoutInCell="1" allowOverlap="1" wp14:anchorId="5F15931C" wp14:editId="59B985AB">
          <wp:simplePos x="0" y="0"/>
          <wp:positionH relativeFrom="column">
            <wp:posOffset>-989965</wp:posOffset>
          </wp:positionH>
          <wp:positionV relativeFrom="page">
            <wp:posOffset>-25400</wp:posOffset>
          </wp:positionV>
          <wp:extent cx="7570800" cy="209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veidlapa 2013_augs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2098800"/>
                  </a:xfrm>
                  <a:prstGeom prst="rect">
                    <a:avLst/>
                  </a:prstGeom>
                </pic:spPr>
              </pic:pic>
            </a:graphicData>
          </a:graphic>
          <wp14:sizeRelH relativeFrom="page">
            <wp14:pctWidth>0</wp14:pctWidth>
          </wp14:sizeRelH>
          <wp14:sizeRelV relativeFrom="page">
            <wp14:pctHeight>0</wp14:pctHeight>
          </wp14:sizeRelV>
        </wp:anchor>
      </w:drawing>
    </w:r>
  </w:p>
  <w:p w:rsidR="006457AB" w:rsidRPr="006457AB" w:rsidRDefault="006457AB">
    <w:pPr>
      <w:pStyle w:val="Galvene"/>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AB"/>
    <w:rsid w:val="00046C5E"/>
    <w:rsid w:val="00117405"/>
    <w:rsid w:val="001D1AD2"/>
    <w:rsid w:val="002302EC"/>
    <w:rsid w:val="003E571F"/>
    <w:rsid w:val="003F7941"/>
    <w:rsid w:val="00454313"/>
    <w:rsid w:val="00476996"/>
    <w:rsid w:val="00526744"/>
    <w:rsid w:val="00561709"/>
    <w:rsid w:val="005766AC"/>
    <w:rsid w:val="006232BF"/>
    <w:rsid w:val="00627FAE"/>
    <w:rsid w:val="006457AB"/>
    <w:rsid w:val="006512F4"/>
    <w:rsid w:val="00654B13"/>
    <w:rsid w:val="006D2C65"/>
    <w:rsid w:val="00707C55"/>
    <w:rsid w:val="00717B9A"/>
    <w:rsid w:val="007F566F"/>
    <w:rsid w:val="0083724C"/>
    <w:rsid w:val="008B458C"/>
    <w:rsid w:val="00974D29"/>
    <w:rsid w:val="009B414B"/>
    <w:rsid w:val="009C5EBC"/>
    <w:rsid w:val="00A32671"/>
    <w:rsid w:val="00A6000D"/>
    <w:rsid w:val="00A852DC"/>
    <w:rsid w:val="00B95B3B"/>
    <w:rsid w:val="00BF2CBA"/>
    <w:rsid w:val="00D12EA2"/>
    <w:rsid w:val="00D9691A"/>
    <w:rsid w:val="00DA5174"/>
    <w:rsid w:val="00E11C65"/>
    <w:rsid w:val="00E41C97"/>
    <w:rsid w:val="00E77323"/>
    <w:rsid w:val="00EF2E06"/>
    <w:rsid w:val="00FF48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5F7D5-7D0D-452E-A23C-CFDADCD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232B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32BF"/>
    <w:rPr>
      <w:rFonts w:ascii="Tahoma" w:hAnsi="Tahoma" w:cs="Tahoma"/>
      <w:sz w:val="16"/>
      <w:szCs w:val="16"/>
    </w:rPr>
  </w:style>
  <w:style w:type="paragraph" w:styleId="Galvene">
    <w:name w:val="header"/>
    <w:basedOn w:val="Parasts"/>
    <w:link w:val="GalveneRakstz"/>
    <w:uiPriority w:val="99"/>
    <w:unhideWhenUsed/>
    <w:rsid w:val="00117405"/>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17405"/>
  </w:style>
  <w:style w:type="paragraph" w:styleId="Kjene">
    <w:name w:val="footer"/>
    <w:basedOn w:val="Parasts"/>
    <w:link w:val="KjeneRakstz"/>
    <w:uiPriority w:val="99"/>
    <w:unhideWhenUsed/>
    <w:rsid w:val="00117405"/>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17405"/>
  </w:style>
  <w:style w:type="table" w:styleId="Reatabula">
    <w:name w:val="Table Grid"/>
    <w:basedOn w:val="Parastatabula"/>
    <w:uiPriority w:val="59"/>
    <w:rsid w:val="007F5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bis.gov.lv/bisp/lv/specialist_certificat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dalestikls.l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lne\AppData\Local\Temp\ST_veidlapa_WORD_NEW(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ST_veidlapa_WORD_NEW(51)</Template>
  <TotalTime>1</TotalTime>
  <Pages>2</Pages>
  <Words>3524</Words>
  <Characters>2009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Latvenergo</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Vilne</dc:creator>
  <cp:lastModifiedBy>Dace</cp:lastModifiedBy>
  <cp:revision>2</cp:revision>
  <dcterms:created xsi:type="dcterms:W3CDTF">2019-08-02T07:52:00Z</dcterms:created>
  <dcterms:modified xsi:type="dcterms:W3CDTF">2019-08-02T07:52:00Z</dcterms:modified>
</cp:coreProperties>
</file>